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E8BD9" w14:textId="77777777" w:rsidR="00193B05" w:rsidRPr="00121261" w:rsidRDefault="00193B05" w:rsidP="00193B05">
      <w:pPr>
        <w:jc w:val="center"/>
        <w:rPr>
          <w:rFonts w:ascii="Calibri" w:hAnsi="Calibri" w:cs="Calibri"/>
          <w:b/>
          <w:bCs/>
          <w:sz w:val="32"/>
          <w:szCs w:val="32"/>
        </w:rPr>
      </w:pPr>
      <w:r w:rsidRPr="00121261">
        <w:rPr>
          <w:rFonts w:ascii="Calibri" w:hAnsi="Calibri" w:cs="Calibri"/>
          <w:b/>
          <w:bCs/>
          <w:sz w:val="32"/>
          <w:szCs w:val="32"/>
        </w:rPr>
        <w:t>Supplemental Handout: The Optical Advantages of Amber Mill</w:t>
      </w:r>
    </w:p>
    <w:p w14:paraId="2F37E6D0" w14:textId="77777777" w:rsidR="00193B05" w:rsidRPr="00121261" w:rsidRDefault="00193B05" w:rsidP="00193B05">
      <w:pPr>
        <w:jc w:val="center"/>
        <w:rPr>
          <w:rFonts w:ascii="Calibri" w:hAnsi="Calibri" w:cs="Calibri"/>
          <w:b/>
          <w:bCs/>
          <w:sz w:val="32"/>
          <w:szCs w:val="32"/>
        </w:rPr>
      </w:pPr>
      <w:r w:rsidRPr="00121261">
        <w:rPr>
          <w:rFonts w:ascii="Calibri" w:hAnsi="Calibri" w:cs="Calibri"/>
          <w:b/>
          <w:bCs/>
          <w:sz w:val="32"/>
          <w:szCs w:val="32"/>
        </w:rPr>
        <w:t>Webinar: Contemporary Monolithic Ceramics &amp; the Digital Dental Team</w:t>
      </w:r>
    </w:p>
    <w:p w14:paraId="0E9E9162" w14:textId="77777777" w:rsidR="00193B05" w:rsidRPr="00121261" w:rsidRDefault="00193B05" w:rsidP="00193B05">
      <w:pPr>
        <w:jc w:val="center"/>
        <w:rPr>
          <w:rFonts w:ascii="Calibri" w:hAnsi="Calibri" w:cs="Calibri"/>
          <w:b/>
          <w:bCs/>
          <w:sz w:val="32"/>
          <w:szCs w:val="32"/>
        </w:rPr>
      </w:pPr>
      <w:r w:rsidRPr="00121261">
        <w:rPr>
          <w:rFonts w:ascii="Calibri" w:hAnsi="Calibri" w:cs="Calibri"/>
          <w:b/>
          <w:bCs/>
          <w:sz w:val="32"/>
          <w:szCs w:val="32"/>
        </w:rPr>
        <w:t>Presented by Dr. Ed McLaren</w:t>
      </w:r>
    </w:p>
    <w:p w14:paraId="743C0B94" w14:textId="77777777" w:rsidR="00193B05" w:rsidRPr="00121261" w:rsidRDefault="00193B05" w:rsidP="00193B05">
      <w:pPr>
        <w:rPr>
          <w:rFonts w:ascii="Calibri" w:hAnsi="Calibri" w:cs="Calibri"/>
        </w:rPr>
      </w:pPr>
    </w:p>
    <w:p w14:paraId="3E9528B3" w14:textId="77777777" w:rsidR="00193B05" w:rsidRPr="00121261" w:rsidRDefault="00193B05" w:rsidP="00193B05">
      <w:pPr>
        <w:rPr>
          <w:rFonts w:ascii="Calibri" w:hAnsi="Calibri" w:cs="Calibri"/>
        </w:rPr>
      </w:pPr>
      <w:r w:rsidRPr="00121261">
        <w:rPr>
          <w:rFonts w:ascii="Calibri" w:hAnsi="Calibri" w:cs="Calibri"/>
        </w:rPr>
        <w:t>Amber Mill represents a new generation of lithium disilicate ceramics, uniquely designed to combine high strength, superior optical properties, and digital workflow versatility. This supplemental handout provides a deeper dive into the esthetic and clinical benefits of Amber Mill, with a focus on its optical qualities and performance supported by peer-reviewed research.</w:t>
      </w:r>
    </w:p>
    <w:p w14:paraId="7B471F49" w14:textId="77777777" w:rsidR="00193B05" w:rsidRPr="00121261" w:rsidRDefault="00193B05" w:rsidP="00193B05">
      <w:pPr>
        <w:rPr>
          <w:rFonts w:ascii="Calibri" w:hAnsi="Calibri" w:cs="Calibri"/>
          <w:b/>
          <w:bCs/>
        </w:rPr>
      </w:pPr>
      <w:r w:rsidRPr="00121261">
        <w:rPr>
          <w:rFonts w:ascii="Calibri" w:hAnsi="Calibri" w:cs="Calibri"/>
          <w:b/>
          <w:bCs/>
        </w:rPr>
        <w:t>Unique Optical Qualities of Amber Mill</w:t>
      </w:r>
    </w:p>
    <w:p w14:paraId="72881F90" w14:textId="77777777" w:rsidR="00193B05" w:rsidRPr="00121261" w:rsidRDefault="00193B05" w:rsidP="00193B05">
      <w:pPr>
        <w:rPr>
          <w:rFonts w:ascii="Calibri" w:hAnsi="Calibri" w:cs="Calibri"/>
        </w:rPr>
      </w:pPr>
      <w:r w:rsidRPr="00121261">
        <w:rPr>
          <w:rFonts w:ascii="Calibri" w:hAnsi="Calibri" w:cs="Calibri"/>
        </w:rPr>
        <w:t xml:space="preserve">Amber Mill is distinguished by its adjustable translucency achieved through heat treatment. This allows </w:t>
      </w:r>
      <w:r>
        <w:rPr>
          <w:rFonts w:ascii="Calibri" w:hAnsi="Calibri" w:cs="Calibri"/>
        </w:rPr>
        <w:t>dental professionals</w:t>
      </w:r>
      <w:r w:rsidRPr="00121261">
        <w:rPr>
          <w:rFonts w:ascii="Calibri" w:hAnsi="Calibri" w:cs="Calibri"/>
        </w:rPr>
        <w:t xml:space="preserve"> to tailor the esthetic appearance of a single block to meet specific clinical needs, ranging from high translucency (HT) for anterior esthetics to medium opacity (MO) for masking dark substrates. Such versatility reduces the need to stock multiple translucency levels, lowering inventory costs while enhancing clinical flexibility.</w:t>
      </w:r>
    </w:p>
    <w:p w14:paraId="6B2FD4D1" w14:textId="77777777" w:rsidR="00193B05" w:rsidRPr="00121261" w:rsidRDefault="00193B05" w:rsidP="00193B05">
      <w:pPr>
        <w:rPr>
          <w:rFonts w:ascii="Calibri" w:hAnsi="Calibri" w:cs="Calibri"/>
        </w:rPr>
      </w:pPr>
      <w:r w:rsidRPr="00121261">
        <w:rPr>
          <w:rFonts w:ascii="Calibri" w:hAnsi="Calibri" w:cs="Calibri"/>
        </w:rPr>
        <w:t>Peer-reviewed research confirms Amber Mill’s ability to achieve controllable translucency (27–34% at 550 nm) by adjusting grain size during crystallization, without compromising flexural strength (Journal of Adhesive Dentistry, 2021).</w:t>
      </w:r>
    </w:p>
    <w:p w14:paraId="2504395C" w14:textId="77777777" w:rsidR="00193B05" w:rsidRPr="00121261" w:rsidRDefault="00193B05" w:rsidP="00193B05">
      <w:pPr>
        <w:rPr>
          <w:rFonts w:ascii="Calibri" w:hAnsi="Calibri" w:cs="Calibri"/>
          <w:b/>
          <w:bCs/>
        </w:rPr>
      </w:pPr>
      <w:r w:rsidRPr="00121261">
        <w:rPr>
          <w:rFonts w:ascii="Calibri" w:hAnsi="Calibri" w:cs="Calibri"/>
          <w:b/>
          <w:bCs/>
        </w:rPr>
        <w:t>Delivering Natural Esthetics</w:t>
      </w:r>
    </w:p>
    <w:p w14:paraId="2E193366" w14:textId="77777777" w:rsidR="00193B05" w:rsidRPr="00121261" w:rsidRDefault="00193B05" w:rsidP="00193B05">
      <w:pPr>
        <w:rPr>
          <w:rFonts w:ascii="Calibri" w:hAnsi="Calibri" w:cs="Calibri"/>
        </w:rPr>
      </w:pPr>
      <w:r w:rsidRPr="00121261">
        <w:rPr>
          <w:rFonts w:ascii="Calibri" w:hAnsi="Calibri" w:cs="Calibri"/>
        </w:rPr>
        <w:t>The combination of translucency modulation, fluorescence, and opalescence enables Amber Mill restorations to mimic the natural vitality of enamel. Surface texture and staining can be applied with precision, and studies demonstrate that color stability is predictable even after multiple crystallization cycles (Journal of Advanced Prosthodontics, 2022).</w:t>
      </w:r>
    </w:p>
    <w:p w14:paraId="17D593A5" w14:textId="77777777" w:rsidR="00193B05" w:rsidRPr="00121261" w:rsidRDefault="00193B05" w:rsidP="00193B05">
      <w:pPr>
        <w:rPr>
          <w:rFonts w:ascii="Calibri" w:hAnsi="Calibri" w:cs="Calibri"/>
        </w:rPr>
      </w:pPr>
      <w:r w:rsidRPr="00121261">
        <w:rPr>
          <w:rFonts w:ascii="Calibri" w:hAnsi="Calibri" w:cs="Calibri"/>
        </w:rPr>
        <w:t>Clinicians benefit from the ability to anticipate and control slight shade shifts post-sintering, allowing for proactive customization. This results in restorations that seamlessly integrate into the natural dentition, even under varying lighting conditions.</w:t>
      </w:r>
    </w:p>
    <w:p w14:paraId="778DCE45" w14:textId="77777777" w:rsidR="00193B05" w:rsidRPr="00121261" w:rsidRDefault="00193B05" w:rsidP="00193B05">
      <w:pPr>
        <w:rPr>
          <w:rFonts w:ascii="Calibri" w:hAnsi="Calibri" w:cs="Calibri"/>
          <w:b/>
          <w:bCs/>
        </w:rPr>
      </w:pPr>
      <w:r w:rsidRPr="00121261">
        <w:rPr>
          <w:rFonts w:ascii="Calibri" w:hAnsi="Calibri" w:cs="Calibri"/>
          <w:b/>
          <w:bCs/>
        </w:rPr>
        <w:t>Aesthetic Strength Supported by Science</w:t>
      </w:r>
    </w:p>
    <w:p w14:paraId="162F2927" w14:textId="77777777" w:rsidR="00193B05" w:rsidRPr="00121261" w:rsidRDefault="00193B05" w:rsidP="00193B05">
      <w:pPr>
        <w:rPr>
          <w:rFonts w:ascii="Calibri" w:hAnsi="Calibri" w:cs="Calibri"/>
        </w:rPr>
      </w:pPr>
      <w:r w:rsidRPr="00121261">
        <w:rPr>
          <w:rFonts w:ascii="Calibri" w:hAnsi="Calibri" w:cs="Calibri"/>
        </w:rPr>
        <w:t xml:space="preserve">Amber Mill combines beauty with durability. Research demonstrates superior mechanical properties, including high Vickers hardness, wear resistance, and fracture toughness compared to other lithium disilicate materials (J Mech </w:t>
      </w:r>
      <w:proofErr w:type="spellStart"/>
      <w:r w:rsidRPr="00121261">
        <w:rPr>
          <w:rFonts w:ascii="Calibri" w:hAnsi="Calibri" w:cs="Calibri"/>
        </w:rPr>
        <w:t>Behav</w:t>
      </w:r>
      <w:proofErr w:type="spellEnd"/>
      <w:r w:rsidRPr="00121261">
        <w:rPr>
          <w:rFonts w:ascii="Calibri" w:hAnsi="Calibri" w:cs="Calibri"/>
        </w:rPr>
        <w:t xml:space="preserve"> Biomed Mater, 2019 &amp; 2020). Even after hydrothermal aging, Amber Mill maintains high biaxial flexural strength, ensuring long-term reliability (Materials, 2021).</w:t>
      </w:r>
    </w:p>
    <w:p w14:paraId="2A4A68DA" w14:textId="77777777" w:rsidR="00193B05" w:rsidRPr="00121261" w:rsidRDefault="00193B05" w:rsidP="00193B05">
      <w:pPr>
        <w:rPr>
          <w:rFonts w:ascii="Calibri" w:hAnsi="Calibri" w:cs="Calibri"/>
        </w:rPr>
      </w:pPr>
      <w:r w:rsidRPr="00121261">
        <w:rPr>
          <w:rFonts w:ascii="Calibri" w:hAnsi="Calibri" w:cs="Calibri"/>
        </w:rPr>
        <w:t>Amber Mill veneers and occlusal restorations have demonstrated higher fracture resistance than full-coverage crowns in fatigue testing (Operative Dentistry, 2024), enabling minimally invasive yet durable treatment solutions.</w:t>
      </w:r>
    </w:p>
    <w:p w14:paraId="03A54911" w14:textId="77777777" w:rsidR="00193B05" w:rsidRPr="00121261" w:rsidRDefault="00193B05" w:rsidP="00193B05">
      <w:pPr>
        <w:rPr>
          <w:rFonts w:ascii="Calibri" w:hAnsi="Calibri" w:cs="Calibri"/>
          <w:b/>
          <w:bCs/>
        </w:rPr>
      </w:pPr>
      <w:r w:rsidRPr="00121261">
        <w:rPr>
          <w:rFonts w:ascii="Calibri" w:hAnsi="Calibri" w:cs="Calibri"/>
          <w:b/>
          <w:bCs/>
        </w:rPr>
        <w:t>Digital Workflow Integration</w:t>
      </w:r>
    </w:p>
    <w:p w14:paraId="76F0CACB" w14:textId="77777777" w:rsidR="00193B05" w:rsidRPr="00121261" w:rsidRDefault="00193B05" w:rsidP="00193B05">
      <w:pPr>
        <w:rPr>
          <w:rFonts w:ascii="Calibri" w:hAnsi="Calibri" w:cs="Calibri"/>
        </w:rPr>
      </w:pPr>
      <w:r w:rsidRPr="00121261">
        <w:rPr>
          <w:rFonts w:ascii="Calibri" w:hAnsi="Calibri" w:cs="Calibri"/>
        </w:rPr>
        <w:t xml:space="preserve">Amber Mill has been extensively evaluated for CAD/CAM accuracy. Studies confirm excellent machinability, precise marginal fit, and smooth </w:t>
      </w:r>
      <w:proofErr w:type="spellStart"/>
      <w:r w:rsidRPr="00121261">
        <w:rPr>
          <w:rFonts w:ascii="Calibri" w:hAnsi="Calibri" w:cs="Calibri"/>
        </w:rPr>
        <w:t>polishability</w:t>
      </w:r>
      <w:proofErr w:type="spellEnd"/>
      <w:r w:rsidRPr="00121261">
        <w:rPr>
          <w:rFonts w:ascii="Calibri" w:hAnsi="Calibri" w:cs="Calibri"/>
        </w:rPr>
        <w:t xml:space="preserve"> to sub</w:t>
      </w:r>
      <w:r w:rsidRPr="00121261">
        <w:rPr>
          <w:rFonts w:ascii="Cambria Math" w:hAnsi="Cambria Math" w:cs="Cambria Math"/>
        </w:rPr>
        <w:t>‑</w:t>
      </w:r>
      <w:r w:rsidRPr="00121261">
        <w:rPr>
          <w:rFonts w:ascii="Calibri" w:hAnsi="Calibri" w:cs="Calibri"/>
        </w:rPr>
        <w:t>10 nm within one minute (Biomaterials Research Report, 2022). This level of accuracy allows for efficient chairside workflows and predictable esthetic outcomes.</w:t>
      </w:r>
    </w:p>
    <w:p w14:paraId="0EA0C1BD" w14:textId="77777777" w:rsidR="00193B05" w:rsidRPr="00121261" w:rsidRDefault="00193B05" w:rsidP="00193B05">
      <w:pPr>
        <w:rPr>
          <w:rFonts w:ascii="Calibri" w:hAnsi="Calibri" w:cs="Calibri"/>
        </w:rPr>
      </w:pPr>
      <w:r w:rsidRPr="00121261">
        <w:rPr>
          <w:rFonts w:ascii="Calibri" w:hAnsi="Calibri" w:cs="Calibri"/>
        </w:rPr>
        <w:lastRenderedPageBreak/>
        <w:t>Its ability to deliver restorations with superior milling trueness and low wear volume loss during simulated mastication further enhances clinical confidence (Journal of Mechanical Behavior of Biomedical Materials, 2020).</w:t>
      </w:r>
    </w:p>
    <w:p w14:paraId="48352A07" w14:textId="77777777" w:rsidR="00193B05" w:rsidRPr="00121261" w:rsidRDefault="00193B05" w:rsidP="00193B05">
      <w:pPr>
        <w:rPr>
          <w:rFonts w:ascii="Calibri" w:hAnsi="Calibri" w:cs="Calibri"/>
          <w:b/>
          <w:bCs/>
        </w:rPr>
      </w:pPr>
      <w:r w:rsidRPr="00121261">
        <w:rPr>
          <w:rFonts w:ascii="Calibri" w:hAnsi="Calibri" w:cs="Calibri"/>
          <w:b/>
          <w:bCs/>
        </w:rPr>
        <w:t>Key Takeaways for Clinicians &amp; Technicians</w:t>
      </w:r>
    </w:p>
    <w:p w14:paraId="3A9A3B7D" w14:textId="77777777" w:rsidR="00193B05" w:rsidRPr="00121261" w:rsidRDefault="00193B05" w:rsidP="00193B05">
      <w:pPr>
        <w:pStyle w:val="ac"/>
        <w:numPr>
          <w:ilvl w:val="0"/>
          <w:numId w:val="2"/>
        </w:numPr>
        <w:rPr>
          <w:rFonts w:ascii="Calibri" w:hAnsi="Calibri" w:cs="Calibri"/>
          <w:sz w:val="24"/>
          <w:szCs w:val="24"/>
        </w:rPr>
      </w:pPr>
      <w:r w:rsidRPr="00121261">
        <w:rPr>
          <w:rFonts w:ascii="Calibri" w:hAnsi="Calibri" w:cs="Calibri"/>
          <w:sz w:val="24"/>
          <w:szCs w:val="24"/>
        </w:rPr>
        <w:t>Adjustable translucency from a single block reduces inventory needs.</w:t>
      </w:r>
    </w:p>
    <w:p w14:paraId="49E9084C" w14:textId="77777777" w:rsidR="00193B05" w:rsidRPr="00121261" w:rsidRDefault="00193B05" w:rsidP="00193B05">
      <w:pPr>
        <w:pStyle w:val="ac"/>
        <w:numPr>
          <w:ilvl w:val="0"/>
          <w:numId w:val="2"/>
        </w:numPr>
        <w:rPr>
          <w:rFonts w:ascii="Calibri" w:hAnsi="Calibri" w:cs="Calibri"/>
          <w:sz w:val="24"/>
          <w:szCs w:val="24"/>
        </w:rPr>
      </w:pPr>
      <w:r w:rsidRPr="00121261">
        <w:rPr>
          <w:rFonts w:ascii="Calibri" w:hAnsi="Calibri" w:cs="Calibri"/>
          <w:sz w:val="24"/>
          <w:szCs w:val="24"/>
        </w:rPr>
        <w:t>Natural optical effects (translucency, opalescence, fluorescence) create lifelike esthetics.</w:t>
      </w:r>
    </w:p>
    <w:p w14:paraId="0BF015F1" w14:textId="77777777" w:rsidR="00193B05" w:rsidRPr="00121261" w:rsidRDefault="00193B05" w:rsidP="00193B05">
      <w:pPr>
        <w:pStyle w:val="ac"/>
        <w:numPr>
          <w:ilvl w:val="0"/>
          <w:numId w:val="2"/>
        </w:numPr>
        <w:rPr>
          <w:rFonts w:ascii="Calibri" w:hAnsi="Calibri" w:cs="Calibri"/>
          <w:sz w:val="24"/>
          <w:szCs w:val="24"/>
        </w:rPr>
      </w:pPr>
      <w:r w:rsidRPr="00121261">
        <w:rPr>
          <w:rFonts w:ascii="Calibri" w:hAnsi="Calibri" w:cs="Calibri"/>
          <w:sz w:val="24"/>
          <w:szCs w:val="24"/>
        </w:rPr>
        <w:t>Predictable color stability with slight, controllable shade shifts post-crystallization.</w:t>
      </w:r>
    </w:p>
    <w:p w14:paraId="14867939" w14:textId="77777777" w:rsidR="00193B05" w:rsidRPr="00121261" w:rsidRDefault="00193B05" w:rsidP="00193B05">
      <w:pPr>
        <w:pStyle w:val="ac"/>
        <w:numPr>
          <w:ilvl w:val="0"/>
          <w:numId w:val="2"/>
        </w:numPr>
        <w:rPr>
          <w:rFonts w:ascii="Calibri" w:hAnsi="Calibri" w:cs="Calibri"/>
          <w:sz w:val="24"/>
          <w:szCs w:val="24"/>
        </w:rPr>
      </w:pPr>
      <w:r w:rsidRPr="00121261">
        <w:rPr>
          <w:rFonts w:ascii="Calibri" w:hAnsi="Calibri" w:cs="Calibri"/>
          <w:sz w:val="24"/>
          <w:szCs w:val="24"/>
        </w:rPr>
        <w:t>Superior strength, fracture resistance, and wear durability validated by research.</w:t>
      </w:r>
    </w:p>
    <w:p w14:paraId="05E53BCE" w14:textId="77777777" w:rsidR="00193B05" w:rsidRPr="00121261" w:rsidRDefault="00193B05" w:rsidP="00193B05">
      <w:pPr>
        <w:pStyle w:val="ac"/>
        <w:numPr>
          <w:ilvl w:val="0"/>
          <w:numId w:val="2"/>
        </w:numPr>
        <w:rPr>
          <w:rFonts w:ascii="Calibri" w:hAnsi="Calibri" w:cs="Calibri"/>
          <w:sz w:val="24"/>
          <w:szCs w:val="24"/>
        </w:rPr>
      </w:pPr>
      <w:r w:rsidRPr="00121261">
        <w:rPr>
          <w:rFonts w:ascii="Calibri" w:hAnsi="Calibri" w:cs="Calibri"/>
          <w:sz w:val="24"/>
          <w:szCs w:val="24"/>
        </w:rPr>
        <w:t>Seamless integration with digital workflows ensures precision, efficiency, and reduced chairside time.</w:t>
      </w:r>
    </w:p>
    <w:p w14:paraId="4633F4E0" w14:textId="77777777" w:rsidR="00193B05" w:rsidRPr="00121261" w:rsidRDefault="00193B05" w:rsidP="00193B05">
      <w:pPr>
        <w:pStyle w:val="ac"/>
        <w:numPr>
          <w:ilvl w:val="0"/>
          <w:numId w:val="2"/>
        </w:numPr>
        <w:rPr>
          <w:rFonts w:ascii="Calibri" w:hAnsi="Calibri" w:cs="Calibri"/>
          <w:sz w:val="24"/>
          <w:szCs w:val="24"/>
        </w:rPr>
      </w:pPr>
      <w:r w:rsidRPr="00121261">
        <w:rPr>
          <w:rFonts w:ascii="Calibri" w:hAnsi="Calibri" w:cs="Calibri"/>
          <w:sz w:val="24"/>
          <w:szCs w:val="24"/>
        </w:rPr>
        <w:t>Enables minimally invasive, durable restorations that meet both functional and esthetic demands.</w:t>
      </w:r>
    </w:p>
    <w:p w14:paraId="52460134" w14:textId="77777777" w:rsidR="00193B05" w:rsidRDefault="00193B05" w:rsidP="00193B05">
      <w:pPr>
        <w:rPr>
          <w:rFonts w:ascii="Calibri" w:hAnsi="Calibri" w:cs="Calibri"/>
        </w:rPr>
      </w:pPr>
      <w:r w:rsidRPr="00121261">
        <w:rPr>
          <w:rFonts w:ascii="Calibri" w:hAnsi="Calibri" w:cs="Calibri"/>
        </w:rPr>
        <w:t>The integration of Amber Mill into the clinical and laboratory workflow empowers dental teams to combine digital precision with analog artistry. Its unique optical versatility, proven strength, and reliable performance position Amber Mill as a cornerstone material for the modern digital dental team.</w:t>
      </w:r>
    </w:p>
    <w:p w14:paraId="62A8FAD6" w14:textId="77777777" w:rsidR="00193B05" w:rsidRDefault="00193B05" w:rsidP="00193B05">
      <w:pPr>
        <w:rPr>
          <w:rFonts w:ascii="Calibri" w:hAnsi="Calibri" w:cs="Calibri"/>
        </w:rPr>
      </w:pPr>
    </w:p>
    <w:p w14:paraId="07ABC082" w14:textId="77777777" w:rsidR="00193B05" w:rsidRDefault="00193B05" w:rsidP="00193B05">
      <w:pPr>
        <w:rPr>
          <w:rFonts w:ascii="Calibri" w:hAnsi="Calibri" w:cs="Calibri"/>
        </w:rPr>
      </w:pPr>
      <w:r>
        <w:rPr>
          <w:rFonts w:ascii="Calibri" w:hAnsi="Calibri" w:cs="Calibri"/>
        </w:rPr>
        <w:br w:type="page"/>
      </w:r>
    </w:p>
    <w:p w14:paraId="6304E9C1" w14:textId="77777777" w:rsidR="00193B05" w:rsidRDefault="00193B05" w:rsidP="00193B05">
      <w:pPr>
        <w:rPr>
          <w:rFonts w:ascii="Calibri" w:hAnsi="Calibri" w:cs="Calibri"/>
        </w:rPr>
      </w:pPr>
      <w:r>
        <w:rPr>
          <w:rFonts w:ascii="Calibri" w:hAnsi="Calibri" w:cs="Calibri"/>
        </w:rPr>
        <w:lastRenderedPageBreak/>
        <w:t>REFERENCES</w:t>
      </w:r>
    </w:p>
    <w:p w14:paraId="4E888999" w14:textId="77777777" w:rsidR="00193B05" w:rsidRDefault="00193B05" w:rsidP="00193B05">
      <w:pPr>
        <w:rPr>
          <w:rFonts w:ascii="Calibri" w:hAnsi="Calibri" w:cs="Calibri"/>
        </w:rPr>
      </w:pPr>
      <w:r w:rsidRPr="00121261">
        <w:rPr>
          <w:rFonts w:ascii="Calibri" w:hAnsi="Calibri" w:cs="Calibri"/>
          <w:b/>
          <w:bCs/>
        </w:rPr>
        <w:t>Journal of Adhesive Dentistry (2021)</w:t>
      </w:r>
      <w:r w:rsidRPr="00121261">
        <w:rPr>
          <w:rFonts w:ascii="Calibri" w:hAnsi="Calibri" w:cs="Calibri"/>
        </w:rPr>
        <w:br/>
      </w:r>
      <w:r w:rsidRPr="00121261">
        <w:rPr>
          <w:rFonts w:ascii="Calibri" w:hAnsi="Calibri" w:cs="Calibri"/>
          <w:i/>
          <w:iCs/>
        </w:rPr>
        <w:t>Modulation of Lithium Disilicate Translucency through Heat Treatment</w:t>
      </w:r>
      <w:r w:rsidRPr="00121261">
        <w:rPr>
          <w:rFonts w:ascii="Calibri" w:hAnsi="Calibri" w:cs="Calibri"/>
        </w:rPr>
        <w:br/>
      </w:r>
      <w:hyperlink r:id="rId7" w:tgtFrame="_new" w:history="1">
        <w:r w:rsidRPr="00121261">
          <w:rPr>
            <w:rStyle w:val="a7"/>
            <w:rFonts w:ascii="Calibri" w:hAnsi="Calibri" w:cs="Calibri"/>
          </w:rPr>
          <w:t>https://pubmed.ncbi.nlm.nih.gov/33740686/</w:t>
        </w:r>
      </w:hyperlink>
    </w:p>
    <w:p w14:paraId="67138F6B" w14:textId="77777777" w:rsidR="00193B05" w:rsidRDefault="00193B05" w:rsidP="00193B05">
      <w:pPr>
        <w:rPr>
          <w:rFonts w:ascii="Calibri" w:hAnsi="Calibri" w:cs="Calibri"/>
        </w:rPr>
      </w:pPr>
      <w:r w:rsidRPr="00121261">
        <w:rPr>
          <w:rFonts w:ascii="Calibri" w:hAnsi="Calibri" w:cs="Calibri"/>
          <w:b/>
          <w:bCs/>
        </w:rPr>
        <w:t>Journal of Advanced Prosthodontics (2022)</w:t>
      </w:r>
      <w:r w:rsidRPr="00121261">
        <w:rPr>
          <w:rFonts w:ascii="Calibri" w:hAnsi="Calibri" w:cs="Calibri"/>
        </w:rPr>
        <w:br/>
      </w:r>
      <w:r w:rsidRPr="00121261">
        <w:rPr>
          <w:rFonts w:ascii="Calibri" w:hAnsi="Calibri" w:cs="Calibri"/>
          <w:i/>
          <w:iCs/>
        </w:rPr>
        <w:t>Color Stability of Fully- and Pre-crystalized Chairside CAD-CAM Lithium Disilicate Restorations</w:t>
      </w:r>
      <w:r w:rsidRPr="00121261">
        <w:rPr>
          <w:rFonts w:ascii="Calibri" w:hAnsi="Calibri" w:cs="Calibri"/>
        </w:rPr>
        <w:br/>
      </w:r>
      <w:hyperlink r:id="rId8" w:tgtFrame="_new" w:history="1">
        <w:r w:rsidRPr="00121261">
          <w:rPr>
            <w:rStyle w:val="a7"/>
            <w:rFonts w:ascii="Calibri" w:hAnsi="Calibri" w:cs="Calibri"/>
          </w:rPr>
          <w:t>https://pubmed.ncbi.nlm.nih.gov/33919189/</w:t>
        </w:r>
      </w:hyperlink>
    </w:p>
    <w:p w14:paraId="7471D7BB" w14:textId="77777777" w:rsidR="00193B05" w:rsidRDefault="00193B05" w:rsidP="00193B05">
      <w:pPr>
        <w:rPr>
          <w:rFonts w:ascii="Calibri" w:hAnsi="Calibri" w:cs="Calibri"/>
        </w:rPr>
      </w:pPr>
      <w:r w:rsidRPr="00121261">
        <w:rPr>
          <w:rFonts w:ascii="Calibri" w:hAnsi="Calibri" w:cs="Calibri"/>
          <w:b/>
          <w:bCs/>
        </w:rPr>
        <w:t>Journal of the Mechanical Behavior of Biomedical Materials (2019)</w:t>
      </w:r>
      <w:r w:rsidRPr="00121261">
        <w:rPr>
          <w:rFonts w:ascii="Calibri" w:hAnsi="Calibri" w:cs="Calibri"/>
        </w:rPr>
        <w:br/>
      </w:r>
      <w:r w:rsidRPr="00121261">
        <w:rPr>
          <w:rFonts w:ascii="Calibri" w:hAnsi="Calibri" w:cs="Calibri"/>
          <w:i/>
          <w:iCs/>
        </w:rPr>
        <w:t>Comparative Evaluation of Mechanical Properties and Wear Ability of Five CAD/CAM Dental Blocks</w:t>
      </w:r>
      <w:r w:rsidRPr="00121261">
        <w:rPr>
          <w:rFonts w:ascii="Calibri" w:hAnsi="Calibri" w:cs="Calibri"/>
        </w:rPr>
        <w:br/>
      </w:r>
      <w:hyperlink r:id="rId9" w:tgtFrame="_new" w:history="1">
        <w:r w:rsidRPr="00121261">
          <w:rPr>
            <w:rStyle w:val="a7"/>
            <w:rFonts w:ascii="Calibri" w:hAnsi="Calibri" w:cs="Calibri"/>
          </w:rPr>
          <w:t>https://pmc.ncbi.nlm.nih.gov/articles/PMC6678169/</w:t>
        </w:r>
      </w:hyperlink>
    </w:p>
    <w:p w14:paraId="4E6E154C" w14:textId="77777777" w:rsidR="00193B05" w:rsidRDefault="00193B05" w:rsidP="00193B05">
      <w:pPr>
        <w:rPr>
          <w:rFonts w:ascii="Calibri" w:hAnsi="Calibri" w:cs="Calibri"/>
        </w:rPr>
      </w:pPr>
      <w:r w:rsidRPr="00121261">
        <w:rPr>
          <w:rFonts w:ascii="Calibri" w:hAnsi="Calibri" w:cs="Calibri"/>
          <w:b/>
          <w:bCs/>
        </w:rPr>
        <w:t>Journal of the Mechanical Behavior of Biomedical Materials (2020)</w:t>
      </w:r>
      <w:r w:rsidRPr="00121261">
        <w:rPr>
          <w:rFonts w:ascii="Calibri" w:hAnsi="Calibri" w:cs="Calibri"/>
        </w:rPr>
        <w:br/>
      </w:r>
      <w:r w:rsidRPr="00121261">
        <w:rPr>
          <w:rFonts w:ascii="Calibri" w:hAnsi="Calibri" w:cs="Calibri"/>
          <w:i/>
          <w:iCs/>
        </w:rPr>
        <w:t>Two-Body Wear Resistance of Different Lithium Disilicate and Zirconia-Reinforced CAD/CAM Materials</w:t>
      </w:r>
      <w:r w:rsidRPr="00121261">
        <w:rPr>
          <w:rFonts w:ascii="Calibri" w:hAnsi="Calibri" w:cs="Calibri"/>
        </w:rPr>
        <w:br/>
      </w:r>
      <w:hyperlink r:id="rId10" w:tgtFrame="_new" w:history="1">
        <w:r w:rsidRPr="00121261">
          <w:rPr>
            <w:rStyle w:val="a7"/>
            <w:rFonts w:ascii="Calibri" w:hAnsi="Calibri" w:cs="Calibri"/>
          </w:rPr>
          <w:t>https://pubmed.ncbi.nlm.nih.gov/33096621/</w:t>
        </w:r>
      </w:hyperlink>
    </w:p>
    <w:p w14:paraId="7033E1E4" w14:textId="77777777" w:rsidR="00193B05" w:rsidRDefault="00193B05" w:rsidP="00193B05">
      <w:pPr>
        <w:rPr>
          <w:rFonts w:ascii="Calibri" w:hAnsi="Calibri" w:cs="Calibri"/>
        </w:rPr>
      </w:pPr>
      <w:r w:rsidRPr="00121261">
        <w:rPr>
          <w:rFonts w:ascii="Calibri" w:hAnsi="Calibri" w:cs="Calibri"/>
          <w:b/>
          <w:bCs/>
        </w:rPr>
        <w:t>Materials (2021)</w:t>
      </w:r>
      <w:r w:rsidRPr="00121261">
        <w:rPr>
          <w:rFonts w:ascii="Calibri" w:hAnsi="Calibri" w:cs="Calibri"/>
        </w:rPr>
        <w:br/>
      </w:r>
      <w:r w:rsidRPr="00121261">
        <w:rPr>
          <w:rFonts w:ascii="Calibri" w:hAnsi="Calibri" w:cs="Calibri"/>
          <w:i/>
          <w:iCs/>
        </w:rPr>
        <w:t>Modern CAD/CAM Silicate Ceramics: Translucency, Hydrothermal Aging, Martens Hardness, and Flexural Strength</w:t>
      </w:r>
      <w:r w:rsidRPr="00121261">
        <w:rPr>
          <w:rFonts w:ascii="Calibri" w:hAnsi="Calibri" w:cs="Calibri"/>
        </w:rPr>
        <w:br/>
      </w:r>
      <w:hyperlink r:id="rId11" w:tgtFrame="_new" w:history="1">
        <w:r w:rsidRPr="00121261">
          <w:rPr>
            <w:rStyle w:val="a7"/>
            <w:rFonts w:ascii="Calibri" w:hAnsi="Calibri" w:cs="Calibri"/>
          </w:rPr>
          <w:t>https://pubmed.ncbi.nlm.nih.gov/33740686/</w:t>
        </w:r>
      </w:hyperlink>
    </w:p>
    <w:p w14:paraId="116DED81" w14:textId="77777777" w:rsidR="00193B05" w:rsidRDefault="00193B05" w:rsidP="00193B05">
      <w:pPr>
        <w:rPr>
          <w:rFonts w:ascii="Calibri" w:hAnsi="Calibri" w:cs="Calibri"/>
        </w:rPr>
      </w:pPr>
      <w:r w:rsidRPr="00121261">
        <w:rPr>
          <w:rFonts w:ascii="Calibri" w:hAnsi="Calibri" w:cs="Calibri"/>
          <w:b/>
          <w:bCs/>
        </w:rPr>
        <w:t>Operative Dentistry (2024)</w:t>
      </w:r>
      <w:r w:rsidRPr="00121261">
        <w:rPr>
          <w:rFonts w:ascii="Calibri" w:hAnsi="Calibri" w:cs="Calibri"/>
        </w:rPr>
        <w:br/>
      </w:r>
      <w:r w:rsidRPr="00121261">
        <w:rPr>
          <w:rFonts w:ascii="Calibri" w:hAnsi="Calibri" w:cs="Calibri"/>
          <w:i/>
          <w:iCs/>
        </w:rPr>
        <w:t>Fracture Resistance of Chairside CAD/CAM Lithium Disilicate-Reinforced Ceramic Occlusal Veneers vs Full Coverage Crowns</w:t>
      </w:r>
      <w:r w:rsidRPr="00121261">
        <w:rPr>
          <w:rFonts w:ascii="Calibri" w:hAnsi="Calibri" w:cs="Calibri"/>
        </w:rPr>
        <w:br/>
      </w:r>
      <w:hyperlink r:id="rId12" w:tgtFrame="_new" w:history="1">
        <w:r w:rsidRPr="00121261">
          <w:rPr>
            <w:rStyle w:val="a7"/>
            <w:rFonts w:ascii="Calibri" w:hAnsi="Calibri" w:cs="Calibri"/>
          </w:rPr>
          <w:t>https://pubmed.ncbi.nlm.nih.gov/38058016/</w:t>
        </w:r>
      </w:hyperlink>
    </w:p>
    <w:p w14:paraId="413D2323" w14:textId="77777777" w:rsidR="00193B05" w:rsidRDefault="00193B05" w:rsidP="00193B05">
      <w:pPr>
        <w:rPr>
          <w:rFonts w:ascii="Calibri" w:hAnsi="Calibri" w:cs="Calibri"/>
        </w:rPr>
      </w:pPr>
      <w:r w:rsidRPr="00121261">
        <w:rPr>
          <w:rFonts w:ascii="Calibri" w:hAnsi="Calibri" w:cs="Calibri"/>
          <w:b/>
          <w:bCs/>
        </w:rPr>
        <w:t>Biomaterials Research Report (2022)</w:t>
      </w:r>
      <w:r w:rsidRPr="00121261">
        <w:rPr>
          <w:rFonts w:ascii="Calibri" w:hAnsi="Calibri" w:cs="Calibri"/>
        </w:rPr>
        <w:br/>
      </w:r>
      <w:r w:rsidRPr="00121261">
        <w:rPr>
          <w:rFonts w:ascii="Calibri" w:hAnsi="Calibri" w:cs="Calibri"/>
          <w:i/>
          <w:iCs/>
        </w:rPr>
        <w:t>Milling Evaluation of Amber Mill</w:t>
      </w:r>
      <w:r w:rsidRPr="00121261">
        <w:rPr>
          <w:rFonts w:ascii="Calibri" w:hAnsi="Calibri" w:cs="Calibri"/>
        </w:rPr>
        <w:br/>
      </w:r>
      <w:hyperlink r:id="rId13" w:tgtFrame="_new" w:history="1">
        <w:r w:rsidRPr="00121261">
          <w:rPr>
            <w:rStyle w:val="a7"/>
            <w:rFonts w:ascii="Calibri" w:hAnsi="Calibri" w:cs="Calibri"/>
          </w:rPr>
          <w:t>https://hassbioamerica.com/news/milling-evaluation-of-amber-mill/</w:t>
        </w:r>
      </w:hyperlink>
    </w:p>
    <w:p w14:paraId="474053F4" w14:textId="77777777" w:rsidR="00183F24" w:rsidRPr="00193B05" w:rsidRDefault="00183F24" w:rsidP="000961BF"/>
    <w:sectPr w:rsidR="00183F24" w:rsidRPr="00193B05" w:rsidSect="009B437C">
      <w:headerReference w:type="even" r:id="rId14"/>
      <w:headerReference w:type="default" r:id="rId15"/>
      <w:footerReference w:type="default" r:id="rId16"/>
      <w:headerReference w:type="first" r:id="rId17"/>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55DA3" w14:textId="77777777" w:rsidR="00CC1C67" w:rsidRDefault="00CC1C67" w:rsidP="00931D68">
      <w:r>
        <w:separator/>
      </w:r>
    </w:p>
  </w:endnote>
  <w:endnote w:type="continuationSeparator" w:id="0">
    <w:p w14:paraId="1ACEBCC6" w14:textId="77777777" w:rsidR="00CC1C67" w:rsidRDefault="00CC1C67" w:rsidP="00931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94FF7" w14:textId="100D4804" w:rsidR="009B437C" w:rsidRDefault="00183F24" w:rsidP="009B437C">
    <w:pPr>
      <w:pStyle w:val="a6"/>
      <w:jc w:val="left"/>
      <w:rPr>
        <w:rFonts w:ascii="Myriad Pro" w:hAnsi="Myriad Pro" w:cs="Calibri"/>
        <w:b/>
        <w:bCs/>
        <w:noProof/>
        <w:color w:val="0094D6"/>
        <w:sz w:val="16"/>
        <w:szCs w:val="16"/>
      </w:rPr>
    </w:pPr>
    <w:r w:rsidRPr="00183F24">
      <w:rPr>
        <w:noProof/>
        <w:color w:val="404040" w:themeColor="text1" w:themeTint="BF"/>
      </w:rPr>
      <w:drawing>
        <wp:anchor distT="0" distB="0" distL="114300" distR="114300" simplePos="0" relativeHeight="251658240" behindDoc="0" locked="0" layoutInCell="1" allowOverlap="1" wp14:anchorId="764367B0" wp14:editId="70F5BB2A">
          <wp:simplePos x="0" y="0"/>
          <wp:positionH relativeFrom="margin">
            <wp:posOffset>22176</wp:posOffset>
          </wp:positionH>
          <wp:positionV relativeFrom="paragraph">
            <wp:posOffset>101600</wp:posOffset>
          </wp:positionV>
          <wp:extent cx="1574165" cy="351155"/>
          <wp:effectExtent l="0" t="0" r="6985" b="0"/>
          <wp:wrapNone/>
          <wp:docPr id="6" name="그림 6"/>
          <wp:cNvGraphicFramePr/>
          <a:graphic xmlns:a="http://schemas.openxmlformats.org/drawingml/2006/main">
            <a:graphicData uri="http://schemas.openxmlformats.org/drawingml/2006/picture">
              <pic:pic xmlns:pic="http://schemas.openxmlformats.org/drawingml/2006/picture">
                <pic:nvPicPr>
                  <pic:cNvPr id="6" name="그림 6"/>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4165" cy="351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1A5386" w14:textId="08503DA7" w:rsidR="009B437C" w:rsidRPr="00183F24" w:rsidRDefault="005F36A1" w:rsidP="009B437C">
    <w:pPr>
      <w:pStyle w:val="a6"/>
      <w:jc w:val="right"/>
      <w:rPr>
        <w:rFonts w:ascii="Myriad Pro" w:hAnsi="Myriad Pro" w:cs="Calibri"/>
        <w:noProof/>
        <w:color w:val="404040" w:themeColor="text1" w:themeTint="BF"/>
        <w:sz w:val="16"/>
        <w:szCs w:val="16"/>
      </w:rPr>
    </w:pPr>
    <w:r w:rsidRPr="00183F24">
      <w:rPr>
        <w:rFonts w:ascii="Myriad Pro" w:hAnsi="Myriad Pro" w:cs="Calibri"/>
        <w:b/>
        <w:bCs/>
        <w:noProof/>
        <w:color w:val="404040" w:themeColor="text1" w:themeTint="BF"/>
        <w:sz w:val="16"/>
        <w:szCs w:val="16"/>
      </w:rPr>
      <w:t>[HQ]</w:t>
    </w:r>
    <w:r w:rsidRPr="00183F24">
      <w:rPr>
        <w:rFonts w:ascii="Myriad Pro" w:hAnsi="Myriad Pro" w:cs="Calibri"/>
        <w:noProof/>
        <w:color w:val="404040" w:themeColor="text1" w:themeTint="BF"/>
        <w:sz w:val="16"/>
        <w:szCs w:val="16"/>
      </w:rPr>
      <w:t xml:space="preserve"> 77-14, Gwahakdanjiro</w:t>
    </w:r>
    <w:r w:rsidRPr="00981B76">
      <w:rPr>
        <w:rFonts w:ascii="Myriad Pro" w:hAnsi="Myriad Pro" w:cs="Calibri"/>
        <w:noProof/>
        <w:color w:val="404040" w:themeColor="text1" w:themeTint="BF"/>
        <w:sz w:val="16"/>
        <w:szCs w:val="16"/>
      </w:rPr>
      <w:t xml:space="preserve">, </w:t>
    </w:r>
    <w:proofErr w:type="spellStart"/>
    <w:r w:rsidR="00981B76" w:rsidRPr="00981B76">
      <w:rPr>
        <w:rFonts w:ascii="Myriad Pro" w:hAnsi="Myriad Pro" w:cs="Arial"/>
        <w:color w:val="1D1C1D"/>
        <w:sz w:val="16"/>
        <w:szCs w:val="16"/>
        <w:shd w:val="clear" w:color="auto" w:fill="FFFFFF"/>
      </w:rPr>
      <w:t>Gangneu</w:t>
    </w:r>
    <w:r w:rsidR="00981B76">
      <w:rPr>
        <w:rFonts w:ascii="Myriad Pro" w:hAnsi="Myriad Pro" w:cs="Arial" w:hint="eastAsia"/>
        <w:color w:val="1D1C1D"/>
        <w:sz w:val="16"/>
        <w:szCs w:val="16"/>
        <w:shd w:val="clear" w:color="auto" w:fill="FFFFFF"/>
      </w:rPr>
      <w:t>n</w:t>
    </w:r>
    <w:r w:rsidR="00981B76" w:rsidRPr="00981B76">
      <w:rPr>
        <w:rFonts w:ascii="Myriad Pro" w:hAnsi="Myriad Pro" w:cs="Arial"/>
        <w:color w:val="1D1C1D"/>
        <w:sz w:val="16"/>
        <w:szCs w:val="16"/>
        <w:shd w:val="clear" w:color="auto" w:fill="FFFFFF"/>
      </w:rPr>
      <w:t>g-si</w:t>
    </w:r>
    <w:proofErr w:type="spellEnd"/>
    <w:r w:rsidR="00981B76" w:rsidRPr="00981B76">
      <w:rPr>
        <w:rFonts w:ascii="Myriad Pro" w:hAnsi="Myriad Pro" w:cs="Arial"/>
        <w:color w:val="1D1C1D"/>
        <w:sz w:val="16"/>
        <w:szCs w:val="16"/>
        <w:shd w:val="clear" w:color="auto" w:fill="FFFFFF"/>
      </w:rPr>
      <w:t xml:space="preserve">, </w:t>
    </w:r>
    <w:r w:rsidRPr="00981B76">
      <w:rPr>
        <w:rFonts w:ascii="Myriad Pro" w:hAnsi="Myriad Pro" w:cs="Calibri"/>
        <w:noProof/>
        <w:color w:val="404040" w:themeColor="text1" w:themeTint="BF"/>
        <w:sz w:val="16"/>
        <w:szCs w:val="16"/>
      </w:rPr>
      <w:t>Gangwon</w:t>
    </w:r>
    <w:r w:rsidR="009B437C" w:rsidRPr="00183F24">
      <w:rPr>
        <w:rFonts w:ascii="Myriad Pro" w:hAnsi="Myriad Pro" w:cs="Calibri"/>
        <w:noProof/>
        <w:color w:val="404040" w:themeColor="text1" w:themeTint="BF"/>
        <w:sz w:val="16"/>
        <w:szCs w:val="16"/>
      </w:rPr>
      <w:t xml:space="preserve"> State</w:t>
    </w:r>
    <w:r w:rsidRPr="00183F24">
      <w:rPr>
        <w:rFonts w:ascii="Myriad Pro" w:hAnsi="Myriad Pro" w:cs="Calibri"/>
        <w:noProof/>
        <w:color w:val="404040" w:themeColor="text1" w:themeTint="BF"/>
        <w:sz w:val="16"/>
        <w:szCs w:val="16"/>
      </w:rPr>
      <w:t>, S.Korea 25452</w:t>
    </w:r>
  </w:p>
  <w:p w14:paraId="091739B5" w14:textId="6AEE5C43" w:rsidR="005F36A1" w:rsidRPr="00183F24" w:rsidRDefault="005F36A1" w:rsidP="009B437C">
    <w:pPr>
      <w:pStyle w:val="a6"/>
      <w:jc w:val="right"/>
      <w:rPr>
        <w:b/>
        <w:color w:val="404040" w:themeColor="text1" w:themeTint="BF"/>
        <w:sz w:val="16"/>
        <w:lang w:val="de-DE"/>
      </w:rPr>
    </w:pPr>
    <w:r w:rsidRPr="00183F24">
      <w:rPr>
        <w:rFonts w:ascii="Myriad Pro" w:hAnsi="Myriad Pro" w:cs="Calibri"/>
        <w:b/>
        <w:bCs/>
        <w:noProof/>
        <w:color w:val="404040" w:themeColor="text1" w:themeTint="BF"/>
        <w:sz w:val="16"/>
        <w:szCs w:val="16"/>
      </w:rPr>
      <w:t>[R&amp;D]</w:t>
    </w:r>
    <w:r w:rsidRPr="00183F24">
      <w:rPr>
        <w:rFonts w:ascii="Myriad Pro" w:hAnsi="Myriad Pro" w:cs="Calibri"/>
        <w:noProof/>
        <w:color w:val="404040" w:themeColor="text1" w:themeTint="BF"/>
        <w:sz w:val="16"/>
        <w:szCs w:val="16"/>
      </w:rPr>
      <w:t xml:space="preserve"> A-1201, 60</w:t>
    </w:r>
    <w:r w:rsidR="009B437C" w:rsidRPr="00183F24">
      <w:rPr>
        <w:rFonts w:ascii="Myriad Pro" w:hAnsi="Myriad Pro" w:cs="Calibri"/>
        <w:noProof/>
        <w:color w:val="404040" w:themeColor="text1" w:themeTint="BF"/>
        <w:sz w:val="16"/>
        <w:szCs w:val="16"/>
      </w:rPr>
      <w:t xml:space="preserve"> </w:t>
    </w:r>
    <w:r w:rsidRPr="00183F24">
      <w:rPr>
        <w:rFonts w:ascii="Myriad Pro" w:hAnsi="Myriad Pro" w:cs="Calibri"/>
        <w:noProof/>
        <w:color w:val="404040" w:themeColor="text1" w:themeTint="BF"/>
        <w:sz w:val="16"/>
        <w:szCs w:val="16"/>
      </w:rPr>
      <w:t xml:space="preserve">Haan-ro, GwangmyeongSi, Gyeonggido, S.Korea 14322 </w:t>
    </w:r>
  </w:p>
  <w:p w14:paraId="5B0D9B69" w14:textId="7BE03608" w:rsidR="005F36A1" w:rsidRPr="00183F24" w:rsidRDefault="005F36A1" w:rsidP="009B437C">
    <w:pPr>
      <w:jc w:val="right"/>
      <w:rPr>
        <w:noProof/>
        <w:color w:val="404040" w:themeColor="text1" w:themeTint="BF"/>
        <w:sz w:val="22"/>
        <w:szCs w:val="22"/>
      </w:rPr>
    </w:pPr>
    <w:r w:rsidRPr="00183F24">
      <w:rPr>
        <w:rFonts w:ascii="Myriad Pro" w:hAnsi="Myriad Pro" w:cs="Calibri"/>
        <w:b/>
        <w:bCs/>
        <w:noProof/>
        <w:color w:val="404040" w:themeColor="text1" w:themeTint="BF"/>
        <w:sz w:val="16"/>
        <w:szCs w:val="16"/>
        <w:lang w:val="de-DE"/>
      </w:rPr>
      <w:t>E.</w:t>
    </w:r>
    <w:r w:rsidRPr="00183F24">
      <w:rPr>
        <w:rFonts w:ascii="Myriad Pro" w:hAnsi="Myriad Pro" w:cs="Calibri"/>
        <w:noProof/>
        <w:color w:val="404040" w:themeColor="text1" w:themeTint="BF"/>
        <w:sz w:val="16"/>
        <w:szCs w:val="16"/>
        <w:lang w:val="de-DE"/>
      </w:rPr>
      <w:t> </w:t>
    </w:r>
    <w:r w:rsidR="005E589F" w:rsidRPr="00183F24">
      <w:rPr>
        <w:rFonts w:ascii="Myriad Pro" w:hAnsi="Myriad Pro" w:cs="Calibri"/>
        <w:noProof/>
        <w:color w:val="404040" w:themeColor="text1" w:themeTint="BF"/>
        <w:sz w:val="16"/>
        <w:szCs w:val="16"/>
        <w:lang w:val="de-DE"/>
      </w:rPr>
      <w:t xml:space="preserve">hasscorp@hassbio.com </w:t>
    </w:r>
    <w:r w:rsidRPr="00183F24">
      <w:rPr>
        <w:rFonts w:ascii="Myriad Pro" w:hAnsi="Myriad Pro" w:cs="Calibri"/>
        <w:b/>
        <w:bCs/>
        <w:noProof/>
        <w:color w:val="404040" w:themeColor="text1" w:themeTint="BF"/>
        <w:sz w:val="16"/>
        <w:szCs w:val="16"/>
        <w:lang w:val="de-DE"/>
      </w:rPr>
      <w:t xml:space="preserve"> l </w:t>
    </w:r>
    <w:r w:rsidR="009B437C" w:rsidRPr="00183F24">
      <w:rPr>
        <w:rFonts w:ascii="Myriad Pro" w:hAnsi="Myriad Pro" w:cs="Calibri"/>
        <w:b/>
        <w:bCs/>
        <w:noProof/>
        <w:color w:val="404040" w:themeColor="text1" w:themeTint="BF"/>
        <w:sz w:val="16"/>
        <w:szCs w:val="16"/>
        <w:lang w:val="de-DE"/>
      </w:rPr>
      <w:t xml:space="preserve"> </w:t>
    </w:r>
    <w:r w:rsidRPr="00183F24">
      <w:rPr>
        <w:rFonts w:ascii="Myriad Pro" w:hAnsi="Myriad Pro" w:cs="Calibri"/>
        <w:b/>
        <w:bCs/>
        <w:noProof/>
        <w:color w:val="404040" w:themeColor="text1" w:themeTint="BF"/>
        <w:sz w:val="16"/>
        <w:szCs w:val="16"/>
        <w:lang w:val="de-DE"/>
      </w:rPr>
      <w:t xml:space="preserve">W. </w:t>
    </w:r>
    <w:hyperlink r:id="rId2" w:history="1">
      <w:r w:rsidRPr="004868EA">
        <w:rPr>
          <w:rStyle w:val="a7"/>
          <w:rFonts w:ascii="Myriad Pro" w:hAnsi="Myriad Pro" w:cs="Calibri"/>
          <w:noProof/>
          <w:color w:val="404040" w:themeColor="text1" w:themeTint="BF"/>
          <w:sz w:val="16"/>
          <w:szCs w:val="16"/>
          <w:u w:val="none"/>
        </w:rPr>
        <w:t>www.hassbio.com</w:t>
      </w:r>
    </w:hyperlink>
  </w:p>
  <w:p w14:paraId="7C428E96" w14:textId="77777777" w:rsidR="00533866" w:rsidRDefault="00533866" w:rsidP="005F36A1">
    <w:pPr>
      <w:rPr>
        <w:rFonts w:ascii="Myriad Pro" w:hAnsi="Myriad Pro" w:cs="Calibri"/>
        <w:noProof/>
        <w:color w:val="000000"/>
        <w:sz w:val="18"/>
        <w:szCs w:val="18"/>
      </w:rPr>
    </w:pPr>
  </w:p>
  <w:p w14:paraId="1852E691" w14:textId="2B58AD6A" w:rsidR="00533866" w:rsidRDefault="00533866" w:rsidP="00533866">
    <w:pPr>
      <w:rPr>
        <w:noProof/>
        <w:color w:val="E7E6E6"/>
        <w:sz w:val="12"/>
        <w:szCs w:val="12"/>
      </w:rPr>
    </w:pPr>
    <w:r>
      <w:rPr>
        <w:rFonts w:hint="eastAsia"/>
        <w:noProof/>
        <w:sz w:val="12"/>
        <w:szCs w:val="12"/>
      </w:rPr>
      <w:t>CONFIDENTIALITY NOTICE:  This e-mail may contain private, confidential or privileged information intended for the use of the designated and/or authorized recipient(s). It is strictly forbidden to distribute, reproduce or copy any part of this message with any third party, without a written consent of the sender. If you have received this email in error, please notify the sender immediately by email and permanently delete all copies of this email.</w:t>
    </w:r>
  </w:p>
  <w:p w14:paraId="323AEA50" w14:textId="31876B7C" w:rsidR="00FD501C" w:rsidRPr="00533866" w:rsidRDefault="00FD501C" w:rsidP="005F36A1">
    <w:pPr>
      <w:pStyle w:val="a6"/>
      <w:jc w:val="left"/>
      <w:rPr>
        <w:b/>
        <w:color w:val="404040" w:themeColor="text1" w:themeTint="BF"/>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64A91" w14:textId="77777777" w:rsidR="00CC1C67" w:rsidRDefault="00CC1C67" w:rsidP="00931D68">
      <w:r>
        <w:separator/>
      </w:r>
    </w:p>
  </w:footnote>
  <w:footnote w:type="continuationSeparator" w:id="0">
    <w:p w14:paraId="1514C24A" w14:textId="77777777" w:rsidR="00CC1C67" w:rsidRDefault="00CC1C67" w:rsidP="00931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D3F9D" w14:textId="4ED3E4D1" w:rsidR="009B437C" w:rsidRDefault="00193B05">
    <w:pPr>
      <w:pStyle w:val="a3"/>
    </w:pPr>
    <w:r>
      <w:rPr>
        <w:noProof/>
      </w:rPr>
      <w:drawing>
        <wp:anchor distT="0" distB="0" distL="114300" distR="114300" simplePos="0" relativeHeight="251661312" behindDoc="1" locked="0" layoutInCell="0" allowOverlap="1" wp14:anchorId="585DAA18" wp14:editId="005B6F92">
          <wp:simplePos x="0" y="0"/>
          <wp:positionH relativeFrom="margin">
            <wp:align>center</wp:align>
          </wp:positionH>
          <wp:positionV relativeFrom="margin">
            <wp:align>center</wp:align>
          </wp:positionV>
          <wp:extent cx="2282825" cy="2284730"/>
          <wp:effectExtent l="0" t="0" r="3175" b="1270"/>
          <wp:wrapNone/>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2825" cy="22847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BA57B" w14:textId="3127FC4E" w:rsidR="0002302D" w:rsidRPr="00406A1F" w:rsidRDefault="00193B05" w:rsidP="00F36828">
    <w:pPr>
      <w:pStyle w:val="ab"/>
      <w:rPr>
        <w:rFonts w:ascii="Myriad Pro" w:hAnsi="Myriad Pro"/>
        <w:szCs w:val="28"/>
      </w:rPr>
    </w:pPr>
    <w:r>
      <w:rPr>
        <w:noProof/>
      </w:rPr>
      <w:drawing>
        <wp:anchor distT="0" distB="0" distL="114300" distR="114300" simplePos="0" relativeHeight="251662336" behindDoc="1" locked="0" layoutInCell="0" allowOverlap="1" wp14:anchorId="42869BEB" wp14:editId="191AB895">
          <wp:simplePos x="0" y="0"/>
          <wp:positionH relativeFrom="margin">
            <wp:align>center</wp:align>
          </wp:positionH>
          <wp:positionV relativeFrom="margin">
            <wp:align>center</wp:align>
          </wp:positionV>
          <wp:extent cx="2282825" cy="2284730"/>
          <wp:effectExtent l="0" t="0" r="3175" b="1270"/>
          <wp:wrapNone/>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2825" cy="2284730"/>
                  </a:xfrm>
                  <a:prstGeom prst="rect">
                    <a:avLst/>
                  </a:prstGeom>
                  <a:noFill/>
                </pic:spPr>
              </pic:pic>
            </a:graphicData>
          </a:graphic>
          <wp14:sizeRelH relativeFrom="page">
            <wp14:pctWidth>0</wp14:pctWidth>
          </wp14:sizeRelH>
          <wp14:sizeRelV relativeFrom="page">
            <wp14:pctHeight>0</wp14:pctHeight>
          </wp14:sizeRelV>
        </wp:anchor>
      </w:drawing>
    </w:r>
    <w:r w:rsidR="002E5400" w:rsidRPr="002E5400">
      <w:rPr>
        <w:noProof/>
      </w:rPr>
      <w:drawing>
        <wp:anchor distT="0" distB="0" distL="114300" distR="114300" simplePos="0" relativeHeight="251659264" behindDoc="0" locked="0" layoutInCell="1" allowOverlap="1" wp14:anchorId="136551D4" wp14:editId="2D50DBD5">
          <wp:simplePos x="0" y="0"/>
          <wp:positionH relativeFrom="column">
            <wp:posOffset>53340</wp:posOffset>
          </wp:positionH>
          <wp:positionV relativeFrom="paragraph">
            <wp:posOffset>-132715</wp:posOffset>
          </wp:positionV>
          <wp:extent cx="1652250" cy="293958"/>
          <wp:effectExtent l="0" t="0" r="5715" b="0"/>
          <wp:wrapNone/>
          <wp:docPr id="1" name="그림 1"/>
          <wp:cNvGraphicFramePr/>
          <a:graphic xmlns:a="http://schemas.openxmlformats.org/drawingml/2006/main">
            <a:graphicData uri="http://schemas.openxmlformats.org/drawingml/2006/picture">
              <pic:pic xmlns:pic="http://schemas.openxmlformats.org/drawingml/2006/picture">
                <pic:nvPicPr>
                  <pic:cNvPr id="1" name="그림 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52250" cy="293958"/>
                  </a:xfrm>
                  <a:prstGeom prst="rect">
                    <a:avLst/>
                  </a:prstGeom>
                  <a:noFill/>
                  <a:ln>
                    <a:noFill/>
                  </a:ln>
                </pic:spPr>
              </pic:pic>
            </a:graphicData>
          </a:graphic>
        </wp:anchor>
      </w:drawing>
    </w:r>
    <w:r w:rsidR="0002302D">
      <w:t xml:space="preserve">              </w:t>
    </w:r>
    <w:r w:rsidR="009B437C">
      <w:t xml:space="preserve">                                              </w:t>
    </w:r>
    <w:r w:rsidR="0002302D">
      <w:t xml:space="preserve"> </w:t>
    </w:r>
    <w:r w:rsidR="0002302D" w:rsidRPr="009B437C">
      <w:rPr>
        <w:rFonts w:ascii="Myriad Pro" w:hAnsi="Myriad Pro"/>
        <w:color w:val="595959" w:themeColor="text1" w:themeTint="A6"/>
        <w:sz w:val="18"/>
        <w:szCs w:val="18"/>
      </w:rPr>
      <w:t xml:space="preserve">Smart </w:t>
    </w:r>
    <w:r w:rsidR="0002302D" w:rsidRPr="009B437C">
      <w:rPr>
        <w:rFonts w:ascii="Myriad Pro" w:hAnsi="Myriad Pro"/>
        <w:sz w:val="18"/>
        <w:szCs w:val="18"/>
      </w:rPr>
      <w:t xml:space="preserve">Choice, </w:t>
    </w:r>
    <w:r w:rsidR="0002302D" w:rsidRPr="009B437C">
      <w:rPr>
        <w:rFonts w:ascii="Myriad Pro" w:hAnsi="Myriad Pro"/>
        <w:color w:val="595959" w:themeColor="text1" w:themeTint="A6"/>
        <w:sz w:val="18"/>
        <w:szCs w:val="18"/>
      </w:rPr>
      <w:t xml:space="preserve">Brighter </w:t>
    </w:r>
    <w:r w:rsidR="0002302D" w:rsidRPr="009B437C">
      <w:rPr>
        <w:rFonts w:ascii="Myriad Pro" w:hAnsi="Myriad Pro"/>
        <w:sz w:val="18"/>
        <w:szCs w:val="18"/>
      </w:rPr>
      <w:t>Smile</w:t>
    </w:r>
    <w:r w:rsidR="0002302D" w:rsidRPr="009B437C">
      <w:rPr>
        <w:rFonts w:ascii="Myriad Pro" w:hAnsi="Myriad Pro"/>
        <w:noProof/>
        <w:sz w:val="8"/>
        <w:szCs w:val="1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794A3" w14:textId="6F430A44" w:rsidR="009B437C" w:rsidRDefault="00CC1C67">
    <w:pPr>
      <w:pStyle w:val="a3"/>
    </w:pPr>
    <w:r>
      <w:rPr>
        <w:noProof/>
      </w:rPr>
      <w:pict w14:anchorId="79EDC9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58" type="#_x0000_t75" style="position:absolute;left:0;text-align:left;margin-left:0;margin-top:0;width:179.75pt;height:179.9pt;z-index:-251656192;mso-position-horizontal:center;mso-position-horizontal-relative:margin;mso-position-vertical:center;mso-position-vertical-relative:margin" o:allowincell="f">
          <v:imagedata r:id="rId1" o:title="symbo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32488"/>
    <w:multiLevelType w:val="hybridMultilevel"/>
    <w:tmpl w:val="7A8A6F4E"/>
    <w:lvl w:ilvl="0" w:tplc="15105A9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7BF70F02"/>
    <w:multiLevelType w:val="hybridMultilevel"/>
    <w:tmpl w:val="BC523D40"/>
    <w:lvl w:ilvl="0" w:tplc="675CB2E6">
      <w:start w:val="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c0NTI0tDC1NDIwNjdW0lEKTi0uzszPAykwqwUAIZ4kKiwAAAA="/>
  </w:docVars>
  <w:rsids>
    <w:rsidRoot w:val="00931D68"/>
    <w:rsid w:val="00013353"/>
    <w:rsid w:val="0002302D"/>
    <w:rsid w:val="00042DAA"/>
    <w:rsid w:val="000961BF"/>
    <w:rsid w:val="00183F24"/>
    <w:rsid w:val="00193B05"/>
    <w:rsid w:val="00205DE5"/>
    <w:rsid w:val="002134D9"/>
    <w:rsid w:val="00274885"/>
    <w:rsid w:val="00286970"/>
    <w:rsid w:val="00287AA7"/>
    <w:rsid w:val="002B3815"/>
    <w:rsid w:val="002B5246"/>
    <w:rsid w:val="002E5400"/>
    <w:rsid w:val="00337F89"/>
    <w:rsid w:val="00362CAA"/>
    <w:rsid w:val="003827CA"/>
    <w:rsid w:val="00406A1F"/>
    <w:rsid w:val="00466303"/>
    <w:rsid w:val="004868EA"/>
    <w:rsid w:val="004963DE"/>
    <w:rsid w:val="004D312F"/>
    <w:rsid w:val="004F6B58"/>
    <w:rsid w:val="00533866"/>
    <w:rsid w:val="00542047"/>
    <w:rsid w:val="005577D8"/>
    <w:rsid w:val="00561EFA"/>
    <w:rsid w:val="005C3DD4"/>
    <w:rsid w:val="005C7D25"/>
    <w:rsid w:val="005E589F"/>
    <w:rsid w:val="005F36A1"/>
    <w:rsid w:val="00621163"/>
    <w:rsid w:val="006B36A7"/>
    <w:rsid w:val="00757887"/>
    <w:rsid w:val="0076069A"/>
    <w:rsid w:val="007752B5"/>
    <w:rsid w:val="00794A5E"/>
    <w:rsid w:val="007A7AFB"/>
    <w:rsid w:val="00800BF4"/>
    <w:rsid w:val="008A2AEA"/>
    <w:rsid w:val="008C1DBA"/>
    <w:rsid w:val="00931D68"/>
    <w:rsid w:val="009323B5"/>
    <w:rsid w:val="00951C3E"/>
    <w:rsid w:val="00956BE0"/>
    <w:rsid w:val="00981B76"/>
    <w:rsid w:val="00997CCC"/>
    <w:rsid w:val="009B2FED"/>
    <w:rsid w:val="009B437C"/>
    <w:rsid w:val="00A0257E"/>
    <w:rsid w:val="00A50F7B"/>
    <w:rsid w:val="00A84EC6"/>
    <w:rsid w:val="00A87100"/>
    <w:rsid w:val="00B322C9"/>
    <w:rsid w:val="00B47C90"/>
    <w:rsid w:val="00B8235E"/>
    <w:rsid w:val="00BC01F2"/>
    <w:rsid w:val="00C21AFB"/>
    <w:rsid w:val="00C67E13"/>
    <w:rsid w:val="00C82EFE"/>
    <w:rsid w:val="00CC1C67"/>
    <w:rsid w:val="00D86CDE"/>
    <w:rsid w:val="00DF2B20"/>
    <w:rsid w:val="00E00655"/>
    <w:rsid w:val="00E8626D"/>
    <w:rsid w:val="00EC1F67"/>
    <w:rsid w:val="00ED33B4"/>
    <w:rsid w:val="00EE0F2A"/>
    <w:rsid w:val="00EE761E"/>
    <w:rsid w:val="00F20A0E"/>
    <w:rsid w:val="00F27A26"/>
    <w:rsid w:val="00F36828"/>
    <w:rsid w:val="00FC6583"/>
    <w:rsid w:val="00FD501C"/>
    <w:rsid w:val="00FE0F9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595CF16F"/>
  <w15:chartTrackingRefBased/>
  <w15:docId w15:val="{C54576CD-E01C-4A1F-99CA-6559A54F1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1AFB"/>
    <w:pPr>
      <w:spacing w:after="0" w:line="240" w:lineRule="auto"/>
      <w:jc w:val="left"/>
    </w:pPr>
    <w:rPr>
      <w:rFonts w:ascii="굴림" w:eastAsia="굴림" w:hAnsi="굴림" w:cs="굴림"/>
      <w:kern w:val="0"/>
      <w:sz w:val="24"/>
      <w:szCs w:val="24"/>
    </w:rPr>
  </w:style>
  <w:style w:type="paragraph" w:styleId="1">
    <w:name w:val="heading 1"/>
    <w:basedOn w:val="a"/>
    <w:next w:val="a"/>
    <w:link w:val="1Char"/>
    <w:uiPriority w:val="9"/>
    <w:qFormat/>
    <w:rsid w:val="00C21AFB"/>
    <w:pPr>
      <w:keepNext/>
      <w:outlineLvl w:val="0"/>
    </w:pPr>
    <w:rPr>
      <w:rFonts w:asciiTheme="majorHAnsi" w:eastAsiaTheme="majorEastAsia" w:hAnsiTheme="majorHAnsi" w:cstheme="majorBidi"/>
      <w:sz w:val="28"/>
      <w:szCs w:val="28"/>
    </w:rPr>
  </w:style>
  <w:style w:type="paragraph" w:styleId="2">
    <w:name w:val="heading 2"/>
    <w:basedOn w:val="a"/>
    <w:next w:val="a"/>
    <w:link w:val="2Char"/>
    <w:uiPriority w:val="9"/>
    <w:semiHidden/>
    <w:unhideWhenUsed/>
    <w:qFormat/>
    <w:rsid w:val="00C67E1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1D68"/>
    <w:pPr>
      <w:widowControl w:val="0"/>
      <w:tabs>
        <w:tab w:val="center" w:pos="4513"/>
        <w:tab w:val="right" w:pos="9026"/>
      </w:tabs>
      <w:wordWrap w:val="0"/>
      <w:autoSpaceDE w:val="0"/>
      <w:autoSpaceDN w:val="0"/>
      <w:snapToGrid w:val="0"/>
      <w:spacing w:after="160" w:line="259" w:lineRule="auto"/>
      <w:jc w:val="both"/>
    </w:pPr>
    <w:rPr>
      <w:rFonts w:asciiTheme="minorHAnsi" w:eastAsiaTheme="minorEastAsia" w:hAnsiTheme="minorHAnsi" w:cstheme="minorBidi"/>
      <w:kern w:val="2"/>
      <w:sz w:val="20"/>
      <w:szCs w:val="22"/>
    </w:rPr>
  </w:style>
  <w:style w:type="character" w:customStyle="1" w:styleId="Char">
    <w:name w:val="머리글 Char"/>
    <w:basedOn w:val="a0"/>
    <w:link w:val="a3"/>
    <w:uiPriority w:val="99"/>
    <w:rsid w:val="00931D68"/>
  </w:style>
  <w:style w:type="paragraph" w:styleId="a4">
    <w:name w:val="footer"/>
    <w:basedOn w:val="a"/>
    <w:link w:val="Char0"/>
    <w:uiPriority w:val="99"/>
    <w:unhideWhenUsed/>
    <w:rsid w:val="00931D68"/>
    <w:pPr>
      <w:widowControl w:val="0"/>
      <w:tabs>
        <w:tab w:val="center" w:pos="4513"/>
        <w:tab w:val="right" w:pos="9026"/>
      </w:tabs>
      <w:wordWrap w:val="0"/>
      <w:autoSpaceDE w:val="0"/>
      <w:autoSpaceDN w:val="0"/>
      <w:snapToGrid w:val="0"/>
      <w:spacing w:after="160" w:line="259" w:lineRule="auto"/>
      <w:jc w:val="both"/>
    </w:pPr>
    <w:rPr>
      <w:rFonts w:asciiTheme="minorHAnsi" w:eastAsiaTheme="minorEastAsia" w:hAnsiTheme="minorHAnsi" w:cstheme="minorBidi"/>
      <w:kern w:val="2"/>
      <w:sz w:val="20"/>
      <w:szCs w:val="22"/>
    </w:rPr>
  </w:style>
  <w:style w:type="character" w:customStyle="1" w:styleId="Char0">
    <w:name w:val="바닥글 Char"/>
    <w:basedOn w:val="a0"/>
    <w:link w:val="a4"/>
    <w:uiPriority w:val="99"/>
    <w:rsid w:val="00931D68"/>
  </w:style>
  <w:style w:type="paragraph" w:styleId="a5">
    <w:name w:val="Date"/>
    <w:basedOn w:val="a"/>
    <w:next w:val="a"/>
    <w:link w:val="Char1"/>
    <w:uiPriority w:val="99"/>
    <w:semiHidden/>
    <w:unhideWhenUsed/>
    <w:rsid w:val="00931D68"/>
    <w:pPr>
      <w:widowControl w:val="0"/>
      <w:wordWrap w:val="0"/>
      <w:autoSpaceDE w:val="0"/>
      <w:autoSpaceDN w:val="0"/>
      <w:spacing w:after="160" w:line="259" w:lineRule="auto"/>
      <w:jc w:val="both"/>
    </w:pPr>
    <w:rPr>
      <w:rFonts w:asciiTheme="minorHAnsi" w:eastAsiaTheme="minorEastAsia" w:hAnsiTheme="minorHAnsi" w:cstheme="minorBidi"/>
      <w:kern w:val="2"/>
      <w:sz w:val="20"/>
      <w:szCs w:val="22"/>
    </w:rPr>
  </w:style>
  <w:style w:type="character" w:customStyle="1" w:styleId="Char1">
    <w:name w:val="날짜 Char"/>
    <w:basedOn w:val="a0"/>
    <w:link w:val="a5"/>
    <w:uiPriority w:val="99"/>
    <w:semiHidden/>
    <w:rsid w:val="00931D68"/>
  </w:style>
  <w:style w:type="paragraph" w:styleId="a6">
    <w:name w:val="No Spacing"/>
    <w:uiPriority w:val="1"/>
    <w:qFormat/>
    <w:rsid w:val="00931D68"/>
    <w:pPr>
      <w:widowControl w:val="0"/>
      <w:wordWrap w:val="0"/>
      <w:autoSpaceDE w:val="0"/>
      <w:autoSpaceDN w:val="0"/>
      <w:spacing w:after="0" w:line="240" w:lineRule="auto"/>
    </w:pPr>
  </w:style>
  <w:style w:type="character" w:styleId="a7">
    <w:name w:val="Hyperlink"/>
    <w:basedOn w:val="a0"/>
    <w:uiPriority w:val="99"/>
    <w:unhideWhenUsed/>
    <w:rsid w:val="00C21AFB"/>
    <w:rPr>
      <w:color w:val="0000FF"/>
      <w:u w:val="single"/>
    </w:rPr>
  </w:style>
  <w:style w:type="character" w:customStyle="1" w:styleId="1Char">
    <w:name w:val="제목 1 Char"/>
    <w:basedOn w:val="a0"/>
    <w:link w:val="1"/>
    <w:uiPriority w:val="9"/>
    <w:rsid w:val="00C21AFB"/>
    <w:rPr>
      <w:rFonts w:asciiTheme="majorHAnsi" w:eastAsiaTheme="majorEastAsia" w:hAnsiTheme="majorHAnsi" w:cstheme="majorBidi"/>
      <w:kern w:val="0"/>
      <w:sz w:val="28"/>
      <w:szCs w:val="28"/>
    </w:rPr>
  </w:style>
  <w:style w:type="paragraph" w:styleId="a8">
    <w:name w:val="Balloon Text"/>
    <w:basedOn w:val="a"/>
    <w:link w:val="Char2"/>
    <w:uiPriority w:val="99"/>
    <w:semiHidden/>
    <w:unhideWhenUsed/>
    <w:rsid w:val="00997CCC"/>
    <w:rPr>
      <w:rFonts w:asciiTheme="majorHAnsi" w:eastAsiaTheme="majorEastAsia" w:hAnsiTheme="majorHAnsi" w:cstheme="majorBidi"/>
      <w:sz w:val="18"/>
      <w:szCs w:val="18"/>
    </w:rPr>
  </w:style>
  <w:style w:type="character" w:customStyle="1" w:styleId="Char2">
    <w:name w:val="풍선 도움말 텍스트 Char"/>
    <w:basedOn w:val="a0"/>
    <w:link w:val="a8"/>
    <w:uiPriority w:val="99"/>
    <w:semiHidden/>
    <w:rsid w:val="00997CCC"/>
    <w:rPr>
      <w:rFonts w:asciiTheme="majorHAnsi" w:eastAsiaTheme="majorEastAsia" w:hAnsiTheme="majorHAnsi" w:cstheme="majorBidi"/>
      <w:kern w:val="0"/>
      <w:sz w:val="18"/>
      <w:szCs w:val="18"/>
    </w:rPr>
  </w:style>
  <w:style w:type="character" w:styleId="a9">
    <w:name w:val="Unresolved Mention"/>
    <w:basedOn w:val="a0"/>
    <w:uiPriority w:val="99"/>
    <w:semiHidden/>
    <w:unhideWhenUsed/>
    <w:rsid w:val="00FD501C"/>
    <w:rPr>
      <w:color w:val="808080"/>
      <w:shd w:val="clear" w:color="auto" w:fill="E6E6E6"/>
    </w:rPr>
  </w:style>
  <w:style w:type="paragraph" w:customStyle="1" w:styleId="10">
    <w:name w:val="본문(신명조10)"/>
    <w:basedOn w:val="a"/>
    <w:rsid w:val="00ED33B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snapToGrid w:val="0"/>
      <w:spacing w:line="432" w:lineRule="auto"/>
      <w:ind w:left="400"/>
      <w:jc w:val="both"/>
      <w:textAlignment w:val="baseline"/>
    </w:pPr>
    <w:rPr>
      <w:rFonts w:ascii="한양신명조"/>
      <w:color w:val="000000"/>
      <w:sz w:val="22"/>
      <w:szCs w:val="22"/>
    </w:rPr>
  </w:style>
  <w:style w:type="paragraph" w:customStyle="1" w:styleId="aa">
    <w:name w:val="바탕글"/>
    <w:basedOn w:val="a"/>
    <w:rsid w:val="00ED33B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snapToGrid w:val="0"/>
      <w:spacing w:line="432" w:lineRule="auto"/>
      <w:jc w:val="both"/>
      <w:textAlignment w:val="baseline"/>
    </w:pPr>
    <w:rPr>
      <w:rFonts w:ascii="한양신명조"/>
      <w:color w:val="000000"/>
      <w:sz w:val="22"/>
      <w:szCs w:val="22"/>
    </w:rPr>
  </w:style>
  <w:style w:type="paragraph" w:styleId="ab">
    <w:name w:val="Subtitle"/>
    <w:basedOn w:val="a"/>
    <w:next w:val="a"/>
    <w:link w:val="Char3"/>
    <w:uiPriority w:val="11"/>
    <w:qFormat/>
    <w:rsid w:val="00F36828"/>
    <w:pPr>
      <w:spacing w:after="60"/>
      <w:jc w:val="center"/>
      <w:outlineLvl w:val="1"/>
    </w:pPr>
    <w:rPr>
      <w:rFonts w:asciiTheme="minorHAnsi" w:eastAsiaTheme="minorEastAsia" w:hAnsiTheme="minorHAnsi" w:cstheme="minorBidi"/>
    </w:rPr>
  </w:style>
  <w:style w:type="character" w:customStyle="1" w:styleId="Char3">
    <w:name w:val="부제 Char"/>
    <w:basedOn w:val="a0"/>
    <w:link w:val="ab"/>
    <w:uiPriority w:val="11"/>
    <w:rsid w:val="00F36828"/>
    <w:rPr>
      <w:kern w:val="0"/>
      <w:sz w:val="24"/>
      <w:szCs w:val="24"/>
    </w:rPr>
  </w:style>
  <w:style w:type="character" w:customStyle="1" w:styleId="2Char">
    <w:name w:val="제목 2 Char"/>
    <w:basedOn w:val="a0"/>
    <w:link w:val="2"/>
    <w:uiPriority w:val="9"/>
    <w:semiHidden/>
    <w:rsid w:val="00C67E13"/>
    <w:rPr>
      <w:rFonts w:asciiTheme="majorHAnsi" w:eastAsiaTheme="majorEastAsia" w:hAnsiTheme="majorHAnsi" w:cstheme="majorBidi"/>
      <w:kern w:val="0"/>
      <w:sz w:val="24"/>
      <w:szCs w:val="24"/>
    </w:rPr>
  </w:style>
  <w:style w:type="paragraph" w:styleId="ac">
    <w:name w:val="List Paragraph"/>
    <w:basedOn w:val="a"/>
    <w:uiPriority w:val="34"/>
    <w:qFormat/>
    <w:rsid w:val="00193B05"/>
    <w:pPr>
      <w:spacing w:after="200" w:line="276" w:lineRule="auto"/>
      <w:ind w:left="720"/>
      <w:contextualSpacing/>
    </w:pPr>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245164">
      <w:bodyDiv w:val="1"/>
      <w:marLeft w:val="0"/>
      <w:marRight w:val="0"/>
      <w:marTop w:val="0"/>
      <w:marBottom w:val="0"/>
      <w:divBdr>
        <w:top w:val="none" w:sz="0" w:space="0" w:color="auto"/>
        <w:left w:val="none" w:sz="0" w:space="0" w:color="auto"/>
        <w:bottom w:val="none" w:sz="0" w:space="0" w:color="auto"/>
        <w:right w:val="none" w:sz="0" w:space="0" w:color="auto"/>
      </w:divBdr>
    </w:div>
    <w:div w:id="378170301">
      <w:bodyDiv w:val="1"/>
      <w:marLeft w:val="0"/>
      <w:marRight w:val="0"/>
      <w:marTop w:val="0"/>
      <w:marBottom w:val="0"/>
      <w:divBdr>
        <w:top w:val="none" w:sz="0" w:space="0" w:color="auto"/>
        <w:left w:val="none" w:sz="0" w:space="0" w:color="auto"/>
        <w:bottom w:val="none" w:sz="0" w:space="0" w:color="auto"/>
        <w:right w:val="none" w:sz="0" w:space="0" w:color="auto"/>
      </w:divBdr>
      <w:divsChild>
        <w:div w:id="2110928637">
          <w:marLeft w:val="0"/>
          <w:marRight w:val="0"/>
          <w:marTop w:val="0"/>
          <w:marBottom w:val="0"/>
          <w:divBdr>
            <w:top w:val="none" w:sz="0" w:space="0" w:color="auto"/>
            <w:left w:val="none" w:sz="0" w:space="0" w:color="auto"/>
            <w:bottom w:val="none" w:sz="0" w:space="0" w:color="auto"/>
            <w:right w:val="none" w:sz="0" w:space="0" w:color="auto"/>
          </w:divBdr>
          <w:divsChild>
            <w:div w:id="561452604">
              <w:marLeft w:val="0"/>
              <w:marRight w:val="0"/>
              <w:marTop w:val="0"/>
              <w:marBottom w:val="0"/>
              <w:divBdr>
                <w:top w:val="none" w:sz="0" w:space="0" w:color="auto"/>
                <w:left w:val="none" w:sz="0" w:space="0" w:color="auto"/>
                <w:bottom w:val="none" w:sz="0" w:space="0" w:color="auto"/>
                <w:right w:val="none" w:sz="0" w:space="0" w:color="auto"/>
              </w:divBdr>
              <w:divsChild>
                <w:div w:id="11063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762968">
      <w:bodyDiv w:val="1"/>
      <w:marLeft w:val="0"/>
      <w:marRight w:val="0"/>
      <w:marTop w:val="0"/>
      <w:marBottom w:val="0"/>
      <w:divBdr>
        <w:top w:val="none" w:sz="0" w:space="0" w:color="auto"/>
        <w:left w:val="none" w:sz="0" w:space="0" w:color="auto"/>
        <w:bottom w:val="none" w:sz="0" w:space="0" w:color="auto"/>
        <w:right w:val="none" w:sz="0" w:space="0" w:color="auto"/>
      </w:divBdr>
    </w:div>
    <w:div w:id="1041250568">
      <w:bodyDiv w:val="1"/>
      <w:marLeft w:val="0"/>
      <w:marRight w:val="0"/>
      <w:marTop w:val="0"/>
      <w:marBottom w:val="0"/>
      <w:divBdr>
        <w:top w:val="none" w:sz="0" w:space="0" w:color="auto"/>
        <w:left w:val="none" w:sz="0" w:space="0" w:color="auto"/>
        <w:bottom w:val="none" w:sz="0" w:space="0" w:color="auto"/>
        <w:right w:val="none" w:sz="0" w:space="0" w:color="auto"/>
      </w:divBdr>
    </w:div>
    <w:div w:id="1115442880">
      <w:bodyDiv w:val="1"/>
      <w:marLeft w:val="0"/>
      <w:marRight w:val="0"/>
      <w:marTop w:val="0"/>
      <w:marBottom w:val="0"/>
      <w:divBdr>
        <w:top w:val="none" w:sz="0" w:space="0" w:color="auto"/>
        <w:left w:val="none" w:sz="0" w:space="0" w:color="auto"/>
        <w:bottom w:val="none" w:sz="0" w:space="0" w:color="auto"/>
        <w:right w:val="none" w:sz="0" w:space="0" w:color="auto"/>
      </w:divBdr>
    </w:div>
    <w:div w:id="1172379259">
      <w:bodyDiv w:val="1"/>
      <w:marLeft w:val="0"/>
      <w:marRight w:val="0"/>
      <w:marTop w:val="0"/>
      <w:marBottom w:val="0"/>
      <w:divBdr>
        <w:top w:val="none" w:sz="0" w:space="0" w:color="auto"/>
        <w:left w:val="none" w:sz="0" w:space="0" w:color="auto"/>
        <w:bottom w:val="none" w:sz="0" w:space="0" w:color="auto"/>
        <w:right w:val="none" w:sz="0" w:space="0" w:color="auto"/>
      </w:divBdr>
    </w:div>
    <w:div w:id="1689522981">
      <w:bodyDiv w:val="1"/>
      <w:marLeft w:val="0"/>
      <w:marRight w:val="0"/>
      <w:marTop w:val="0"/>
      <w:marBottom w:val="0"/>
      <w:divBdr>
        <w:top w:val="none" w:sz="0" w:space="0" w:color="auto"/>
        <w:left w:val="none" w:sz="0" w:space="0" w:color="auto"/>
        <w:bottom w:val="none" w:sz="0" w:space="0" w:color="auto"/>
        <w:right w:val="none" w:sz="0" w:space="0" w:color="auto"/>
      </w:divBdr>
      <w:divsChild>
        <w:div w:id="1556965342">
          <w:marLeft w:val="0"/>
          <w:marRight w:val="0"/>
          <w:marTop w:val="0"/>
          <w:marBottom w:val="0"/>
          <w:divBdr>
            <w:top w:val="none" w:sz="0" w:space="0" w:color="auto"/>
            <w:left w:val="none" w:sz="0" w:space="0" w:color="auto"/>
            <w:bottom w:val="none" w:sz="0" w:space="0" w:color="auto"/>
            <w:right w:val="none" w:sz="0" w:space="0" w:color="auto"/>
          </w:divBdr>
          <w:divsChild>
            <w:div w:id="1710956578">
              <w:marLeft w:val="0"/>
              <w:marRight w:val="0"/>
              <w:marTop w:val="0"/>
              <w:marBottom w:val="0"/>
              <w:divBdr>
                <w:top w:val="none" w:sz="0" w:space="0" w:color="auto"/>
                <w:left w:val="none" w:sz="0" w:space="0" w:color="auto"/>
                <w:bottom w:val="none" w:sz="0" w:space="0" w:color="auto"/>
                <w:right w:val="none" w:sz="0" w:space="0" w:color="auto"/>
              </w:divBdr>
              <w:divsChild>
                <w:div w:id="78928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95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33919189/" TargetMode="External"/><Relationship Id="rId13" Type="http://schemas.openxmlformats.org/officeDocument/2006/relationships/hyperlink" Target="https://hassbioamerica.com/news/milling-evaluation-of-amber-mil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ubmed.ncbi.nlm.nih.gov/33740686/" TargetMode="External"/><Relationship Id="rId12" Type="http://schemas.openxmlformats.org/officeDocument/2006/relationships/hyperlink" Target="https://pubmed.ncbi.nlm.nih.gov/38058016/"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3374068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pubmed.ncbi.nlm.nih.gov/3309662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mc.ncbi.nlm.nih.gov/articles/PMC6678169/"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hassbio.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4909</Characters>
  <Application>Microsoft Office Word</Application>
  <DocSecurity>0</DocSecurity>
  <Lines>40</Lines>
  <Paragraphs>11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안세희</dc:creator>
  <cp:keywords/>
  <dc:description/>
  <cp:lastModifiedBy>BAREUN</cp:lastModifiedBy>
  <cp:revision>3</cp:revision>
  <cp:lastPrinted>2017-08-14T02:59:00Z</cp:lastPrinted>
  <dcterms:created xsi:type="dcterms:W3CDTF">2025-10-03T02:10:00Z</dcterms:created>
  <dcterms:modified xsi:type="dcterms:W3CDTF">2025-10-03T02:10:00Z</dcterms:modified>
</cp:coreProperties>
</file>